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rPr>
      </w:pPr>
      <w:r>
        <w:rPr>
          <w:rFonts w:hint="eastAsia"/>
          <w:b w:val="1"/>
        </w:rPr>
        <w:t>Ｈ</w:t>
      </w:r>
      <w:r>
        <w:rPr>
          <w:rFonts w:hint="eastAsia" w:asciiTheme="majorEastAsia" w:hAnsiTheme="majorEastAsia" w:eastAsiaTheme="majorEastAsia"/>
          <w:b w:val="1"/>
        </w:rPr>
        <w:t>30</w:t>
      </w:r>
      <w:r>
        <w:rPr>
          <w:rFonts w:hint="eastAsia" w:asciiTheme="majorEastAsia" w:hAnsiTheme="majorEastAsia" w:eastAsiaTheme="majorEastAsia"/>
          <w:b w:val="1"/>
        </w:rPr>
        <w:t>年</w:t>
      </w:r>
      <w:r>
        <w:rPr>
          <w:rFonts w:hint="eastAsia"/>
          <w:b w:val="1"/>
        </w:rPr>
        <w:t>度入域料（Ｒ元年度支出）の充当事業について（報告）</w:t>
      </w:r>
      <w:r>
        <w:rPr>
          <w:rFonts w:hint="eastAsia"/>
        </w:rPr>
        <mc:AlternateContent>
          <mc:Choice Requires="wps">
            <w:drawing>
              <wp:anchor distT="0" distB="0" distL="71755" distR="71755" simplePos="0" relativeHeight="2" behindDoc="0" locked="0" layoutInCell="1" hidden="0" allowOverlap="1">
                <wp:simplePos x="0" y="0"/>
                <wp:positionH relativeFrom="margin">
                  <wp:posOffset>5066665</wp:posOffset>
                </wp:positionH>
                <wp:positionV relativeFrom="margin">
                  <wp:posOffset>-900430</wp:posOffset>
                </wp:positionV>
                <wp:extent cx="962025" cy="295275"/>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962025" cy="295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資料１－１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0.900000000000006pt;mso-position-vertical-relative:margin;mso-position-horizontal-relative:margin;position:absolute;mso-wrap-mode:square;height:23.25pt;mso-wrap-distance-top:0pt;width:75.75pt;mso-wrap-distance-left:5.65pt;margin-left:398.9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資料１－１</w:t>
                      </w:r>
                    </w:p>
                  </w:txbxContent>
                </v:textbox>
                <v:imagedata o:title=""/>
                <w10:wrap type="square" side="both" anchorx="margin" anchory="margin"/>
              </v:shape>
            </w:pict>
          </mc:Fallback>
        </mc:AlternateContent>
      </w:r>
    </w:p>
    <w:p>
      <w:pPr>
        <w:pStyle w:val="0"/>
        <w:rPr>
          <w:rFonts w:hint="default"/>
        </w:rPr>
      </w:pPr>
    </w:p>
    <w:p>
      <w:pPr>
        <w:pStyle w:val="0"/>
        <w:rPr>
          <w:rFonts w:hint="default"/>
        </w:rPr>
      </w:pPr>
      <w:r>
        <w:rPr>
          <w:rFonts w:hint="eastAsia"/>
        </w:rPr>
        <w:t>１．予算額（</w:t>
      </w:r>
      <w:r>
        <w:rPr>
          <w:rFonts w:hint="eastAsia" w:asciiTheme="majorEastAsia" w:hAnsiTheme="majorEastAsia" w:eastAsiaTheme="majorEastAsia"/>
        </w:rPr>
        <w:t>H30</w:t>
      </w:r>
      <w:r>
        <w:rPr>
          <w:rFonts w:hint="eastAsia"/>
        </w:rPr>
        <w:t>年度入域料より）</w:t>
      </w:r>
    </w:p>
    <w:p>
      <w:pPr>
        <w:pStyle w:val="0"/>
        <w:rPr>
          <w:rFonts w:hint="default"/>
          <w:u w:val="single" w:color="auto"/>
        </w:rPr>
      </w:pPr>
      <w:r>
        <w:rPr>
          <w:rFonts w:hint="eastAsia"/>
        </w:rPr>
        <w:t>　　</w:t>
      </w:r>
      <w:r>
        <w:rPr>
          <w:rFonts w:hint="eastAsia"/>
          <w:u w:val="single" w:color="auto"/>
        </w:rPr>
        <w:t>１，４６０，０００円　</w:t>
      </w:r>
    </w:p>
    <w:p>
      <w:pPr>
        <w:pStyle w:val="0"/>
        <w:rPr>
          <w:rFonts w:hint="default"/>
        </w:rPr>
      </w:pPr>
    </w:p>
    <w:p>
      <w:pPr>
        <w:pStyle w:val="0"/>
        <w:rPr>
          <w:rFonts w:hint="default"/>
        </w:rPr>
      </w:pPr>
      <w:bookmarkStart w:id="0" w:name="_GoBack"/>
      <w:bookmarkEnd w:id="0"/>
    </w:p>
    <w:p>
      <w:pPr>
        <w:pStyle w:val="0"/>
        <w:rPr>
          <w:rFonts w:hint="default"/>
        </w:rPr>
      </w:pPr>
      <w:r>
        <w:rPr>
          <w:rFonts w:hint="eastAsia"/>
        </w:rPr>
        <w:t>２．充当事業</w:t>
      </w:r>
    </w:p>
    <w:p>
      <w:pPr>
        <w:pStyle w:val="0"/>
        <w:rPr>
          <w:rFonts w:hint="default"/>
        </w:rPr>
      </w:pPr>
      <w:r>
        <w:rPr>
          <w:rFonts w:hint="eastAsia"/>
          <w:shd w:val="pct15" w:color="auto" w:fill="auto"/>
        </w:rPr>
        <w:t>（１）ライチョウ保護対策</w:t>
      </w:r>
    </w:p>
    <w:p>
      <w:pPr>
        <w:pStyle w:val="0"/>
        <w:rPr>
          <w:rFonts w:hint="default"/>
        </w:rPr>
      </w:pPr>
      <w:r>
        <w:rPr>
          <w:rFonts w:hint="eastAsia"/>
        </w:rPr>
        <w:t>　　決算額：７１５，０００円</w:t>
      </w:r>
    </w:p>
    <w:p>
      <w:pPr>
        <w:pStyle w:val="0"/>
        <w:ind w:left="1440" w:leftChars="200" w:hanging="960" w:hangingChars="400"/>
        <w:rPr>
          <w:rFonts w:hint="default"/>
        </w:rPr>
      </w:pPr>
      <w:r>
        <w:rPr>
          <w:rFonts w:hint="eastAsia"/>
        </w:rPr>
        <w:t>事業名：妙高戸隠連山国立公園火打山周辺におけるライチョウ生息地回復調査業務</w:t>
      </w:r>
    </w:p>
    <w:p>
      <w:pPr>
        <w:pStyle w:val="0"/>
        <w:rPr>
          <w:rFonts w:hint="default"/>
        </w:rPr>
      </w:pPr>
      <w:r>
        <w:rPr>
          <w:rFonts w:hint="eastAsia"/>
        </w:rPr>
        <w:t>　　内　容：①イネ科等植物除去事業に係る植生調査</w:t>
      </w:r>
    </w:p>
    <w:p>
      <w:pPr>
        <w:pStyle w:val="0"/>
        <w:rPr>
          <w:rFonts w:hint="default"/>
        </w:rPr>
      </w:pPr>
      <w:r>
        <w:rPr>
          <w:rFonts w:hint="eastAsia"/>
        </w:rPr>
        <w:t>　　　　　　②ニホンライチョウ捕食者に係る糞調査</w:t>
      </w:r>
    </w:p>
    <w:p>
      <w:pPr>
        <w:pStyle w:val="0"/>
        <w:rPr>
          <w:rFonts w:hint="default"/>
        </w:rPr>
      </w:pPr>
    </w:p>
    <w:p>
      <w:pPr>
        <w:pStyle w:val="0"/>
        <w:rPr>
          <w:rFonts w:hint="default"/>
        </w:rPr>
      </w:pPr>
      <w:r>
        <w:rPr>
          <w:rFonts w:hint="eastAsia"/>
          <w:shd w:val="pct15" w:color="auto" w:fill="auto"/>
        </w:rPr>
        <w:t>（２）登山道整備事業</w:t>
      </w:r>
    </w:p>
    <w:p>
      <w:pPr>
        <w:pStyle w:val="0"/>
        <w:rPr>
          <w:rFonts w:hint="default"/>
        </w:rPr>
      </w:pPr>
      <w:r>
        <w:rPr>
          <w:rFonts w:hint="eastAsia"/>
        </w:rPr>
        <w:t>　　決算額：７３０，０００円（工事費：２，２２８，５００円）</w:t>
      </w:r>
    </w:p>
    <w:p>
      <w:pPr>
        <w:pStyle w:val="0"/>
        <w:rPr>
          <w:rFonts w:hint="default"/>
        </w:rPr>
      </w:pPr>
      <w:r>
        <w:rPr>
          <w:rFonts w:hint="eastAsia"/>
        </w:rPr>
        <w:t>　　　　　　※市一般会計へ繰り入れ　</w:t>
      </w:r>
    </w:p>
    <w:p>
      <w:pPr>
        <w:pStyle w:val="0"/>
        <w:rPr>
          <w:rFonts w:hint="default"/>
        </w:rPr>
      </w:pPr>
      <w:r>
        <w:rPr>
          <w:rFonts w:hint="eastAsia"/>
        </w:rPr>
        <w:t>　　内　容：①妙高山大倉池線　大倉沢の仮設橋</w:t>
      </w:r>
    </w:p>
    <w:p>
      <w:pPr>
        <w:pStyle w:val="0"/>
        <w:rPr>
          <w:rFonts w:hint="default"/>
        </w:rPr>
      </w:pPr>
      <w:r>
        <w:rPr>
          <w:rFonts w:hint="eastAsia"/>
        </w:rPr>
        <w:t>　　　　　　②妙高連峰縦走線（湯道分岐～天狗堂）　階段修繕</w:t>
      </w:r>
    </w:p>
    <w:p>
      <w:pPr>
        <w:pStyle w:val="0"/>
        <w:rPr>
          <w:rFonts w:hint="eastAsia"/>
        </w:rPr>
      </w:pPr>
    </w:p>
    <w:p>
      <w:pPr>
        <w:pStyle w:val="0"/>
        <w:rPr>
          <w:rFonts w:hint="eastAsia"/>
          <w:u w:val="singl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0</Words>
  <Characters>223</Characters>
  <Application>JUST Note</Application>
  <Lines>21</Lines>
  <Paragraphs>17</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WS15054</dc:creator>
  <cp:lastModifiedBy>WS15054</cp:lastModifiedBy>
  <dcterms:created xsi:type="dcterms:W3CDTF">2020-02-07T05:12:00Z</dcterms:created>
  <dcterms:modified xsi:type="dcterms:W3CDTF">2020-02-10T09:12:39Z</dcterms:modified>
  <cp:revision>4</cp:revision>
</cp:coreProperties>
</file>